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39" w:rsidRDefault="004C3739" w:rsidP="004C3739">
      <w:pPr>
        <w:widowControl w:val="0"/>
        <w:autoSpaceDE w:val="0"/>
        <w:autoSpaceDN w:val="0"/>
        <w:adjustRightInd w:val="0"/>
        <w:rPr>
          <w:rFonts w:ascii="Times New Roman" w:hAnsi="Times New Roman" w:cs="Times New Roman"/>
          <w:sz w:val="22"/>
          <w:szCs w:val="22"/>
          <w:lang w:val="es-ES"/>
        </w:rPr>
      </w:pPr>
      <w:r>
        <w:rPr>
          <w:rFonts w:ascii="Times New Roman" w:hAnsi="Times New Roman" w:cs="Times New Roman"/>
          <w:sz w:val="22"/>
          <w:szCs w:val="22"/>
          <w:lang w:val="es-ES"/>
        </w:rPr>
        <w:t>RESUMEN DE LA PROPUESTA</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sz w:val="18"/>
          <w:szCs w:val="18"/>
          <w:lang w:val="es-ES"/>
        </w:rPr>
        <w:t xml:space="preserve">Le invitamos a participar  y colaborar invirtiendo en  un proyecto de </w:t>
      </w:r>
      <w:proofErr w:type="spellStart"/>
      <w:r>
        <w:rPr>
          <w:rFonts w:ascii="Times New Roman" w:hAnsi="Times New Roman" w:cs="Times New Roman"/>
          <w:sz w:val="18"/>
          <w:szCs w:val="18"/>
          <w:lang w:val="es-ES"/>
        </w:rPr>
        <w:t>inovacion</w:t>
      </w:r>
      <w:proofErr w:type="spellEnd"/>
      <w:r>
        <w:rPr>
          <w:rFonts w:ascii="Times New Roman" w:hAnsi="Times New Roman" w:cs="Times New Roman"/>
          <w:sz w:val="18"/>
          <w:szCs w:val="18"/>
          <w:lang w:val="es-ES"/>
        </w:rPr>
        <w:t xml:space="preserve"> ecológico que se basa en nuestra tecnología know-how  de la producción de fertilizantes nitrogenados  ecológicamente inocuos que permiten duplicar el rendimiento de los cultivos agrarios.</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sz w:val="18"/>
          <w:szCs w:val="18"/>
          <w:lang w:val="es-ES"/>
        </w:rPr>
        <w:t>Resumiendo, nuestra oferta consiste en lo siguiente. Los fertilizantes nitrogenados “preferidos” por los agricultores son   carbamida y urea. Sin embargo estas sustancias contaminan el medio ambiente. Los ríos y tierras de China, India, Brasil  e incluso de Europa (Alemania, Polonia etc.) claman  con urgencia  para que se ponga coto a su aplicación. Un ejemplo   fehaciente  de ello es la siguiente cita:</w:t>
      </w:r>
      <w:r>
        <w:rPr>
          <w:rFonts w:ascii="Times New Roman" w:hAnsi="Times New Roman" w:cs="Times New Roman"/>
          <w:i/>
          <w:iCs/>
          <w:color w:val="0000FF"/>
          <w:sz w:val="18"/>
          <w:szCs w:val="18"/>
          <w:lang w:val="es-ES"/>
        </w:rPr>
        <w:t>http://www.ozemle.net/stoimost-azotnogo-zagryazneniya-v-evrope.php.</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sz w:val="18"/>
          <w:szCs w:val="18"/>
          <w:lang w:val="es-ES"/>
        </w:rPr>
        <w:t>“</w:t>
      </w:r>
      <w:r>
        <w:rPr>
          <w:rFonts w:ascii="Times New Roman" w:hAnsi="Times New Roman" w:cs="Times New Roman"/>
          <w:i/>
          <w:iCs/>
          <w:sz w:val="18"/>
          <w:szCs w:val="18"/>
          <w:lang w:val="es-ES"/>
        </w:rPr>
        <w:t>Los resultados de las investigaciones</w:t>
      </w:r>
      <w:r>
        <w:rPr>
          <w:rFonts w:ascii="Times New Roman" w:hAnsi="Times New Roman" w:cs="Times New Roman"/>
          <w:sz w:val="18"/>
          <w:szCs w:val="18"/>
          <w:lang w:val="es-ES"/>
        </w:rPr>
        <w:t xml:space="preserve"> </w:t>
      </w:r>
      <w:r>
        <w:rPr>
          <w:rFonts w:ascii="Times New Roman" w:hAnsi="Times New Roman" w:cs="Times New Roman"/>
          <w:i/>
          <w:iCs/>
          <w:sz w:val="18"/>
          <w:szCs w:val="18"/>
          <w:lang w:val="es-ES"/>
        </w:rPr>
        <w:t>realizadas por los expertos europeos en Gran Bretaña alertan  acerca de los efectos de la contaminación por nitrógeno El programa  internacional - la Evaluación Europea del Nitrógeno (ENA) –</w:t>
      </w:r>
      <w:r>
        <w:rPr>
          <w:rFonts w:ascii="Times" w:hAnsi="Times" w:cs="Times"/>
          <w:sz w:val="18"/>
          <w:szCs w:val="18"/>
          <w:lang w:val="es-ES"/>
        </w:rPr>
        <w:t xml:space="preserve"> </w:t>
      </w:r>
      <w:r>
        <w:rPr>
          <w:rFonts w:ascii="Times New Roman" w:hAnsi="Times New Roman" w:cs="Times New Roman"/>
          <w:i/>
          <w:iCs/>
          <w:sz w:val="18"/>
          <w:szCs w:val="18"/>
          <w:lang w:val="es-ES"/>
        </w:rPr>
        <w:t>con la duración prevista de cinco años,   estima que el coste anual de los daños causados a la salud pública y el medio ambiente  por el nitrógeno en Europa se sitúa entre 70 -320 billones de euros. Es decir,  más del doble de los beneficios obtenidos por el uso de fertilizantes nitrogenados en la agricultura del continente.”</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sz w:val="18"/>
          <w:szCs w:val="18"/>
          <w:lang w:val="es-ES"/>
        </w:rPr>
        <w:t xml:space="preserve">Debido a ello, se aprobó una serie de medidas con el fin de solucionar los problemas ecológicos que surgen a raíz del uso de los abonos minerales (Protocolo de Kioto, Proyecto  Integrado </w:t>
      </w:r>
      <w:proofErr w:type="spellStart"/>
      <w:r>
        <w:rPr>
          <w:rFonts w:ascii="Times New Roman" w:hAnsi="Times New Roman" w:cs="Times New Roman"/>
          <w:sz w:val="18"/>
          <w:szCs w:val="18"/>
          <w:lang w:val="es-ES"/>
        </w:rPr>
        <w:t>NitroEurope</w:t>
      </w:r>
      <w:proofErr w:type="spellEnd"/>
      <w:r>
        <w:rPr>
          <w:rFonts w:ascii="Times New Roman" w:hAnsi="Times New Roman" w:cs="Times New Roman"/>
          <w:sz w:val="18"/>
          <w:szCs w:val="18"/>
          <w:lang w:val="es-ES"/>
        </w:rPr>
        <w:t xml:space="preserve">,    COST </w:t>
      </w:r>
      <w:proofErr w:type="spellStart"/>
      <w:r>
        <w:rPr>
          <w:rFonts w:ascii="Times New Roman" w:hAnsi="Times New Roman" w:cs="Times New Roman"/>
          <w:sz w:val="18"/>
          <w:szCs w:val="18"/>
          <w:lang w:val="es-ES"/>
        </w:rPr>
        <w:t>Action</w:t>
      </w:r>
      <w:proofErr w:type="spellEnd"/>
      <w:r>
        <w:rPr>
          <w:rFonts w:ascii="Times New Roman" w:hAnsi="Times New Roman" w:cs="Times New Roman"/>
          <w:sz w:val="18"/>
          <w:szCs w:val="18"/>
          <w:lang w:val="es-ES"/>
        </w:rPr>
        <w:t xml:space="preserve"> 729, programa </w:t>
      </w:r>
      <w:proofErr w:type="spellStart"/>
      <w:r>
        <w:rPr>
          <w:rFonts w:ascii="Times New Roman" w:hAnsi="Times New Roman" w:cs="Times New Roman"/>
          <w:sz w:val="18"/>
          <w:szCs w:val="18"/>
          <w:lang w:val="es-ES"/>
        </w:rPr>
        <w:t>N</w:t>
      </w:r>
      <w:r>
        <w:rPr>
          <w:rFonts w:ascii="Times New Roman" w:hAnsi="Times New Roman" w:cs="Times New Roman"/>
          <w:i/>
          <w:iCs/>
          <w:sz w:val="18"/>
          <w:szCs w:val="18"/>
          <w:lang w:val="es-ES"/>
        </w:rPr>
        <w:t>in</w:t>
      </w:r>
      <w:r>
        <w:rPr>
          <w:rFonts w:ascii="Times New Roman" w:hAnsi="Times New Roman" w:cs="Times New Roman"/>
          <w:sz w:val="18"/>
          <w:szCs w:val="18"/>
          <w:lang w:val="es-ES"/>
        </w:rPr>
        <w:t>E</w:t>
      </w:r>
      <w:proofErr w:type="spellEnd"/>
      <w:r>
        <w:rPr>
          <w:rFonts w:ascii="Times New Roman" w:hAnsi="Times New Roman" w:cs="Times New Roman"/>
          <w:sz w:val="18"/>
          <w:szCs w:val="18"/>
          <w:lang w:val="es-ES"/>
        </w:rPr>
        <w:t xml:space="preserve"> de la Fundación Europea para la Ciencia (ESF) e iniciativa global integral de nitrógeno (KIA). Según se desprende de  los datos de la sesión de trabajo de la Comisión Europea sobre la realización  de modelos integrados de  evaluación  del  nitrógeno, NO3 encierra peligro para el agua potable (el llamado proceso de </w:t>
      </w:r>
      <w:proofErr w:type="spellStart"/>
      <w:r>
        <w:rPr>
          <w:rFonts w:ascii="Times New Roman" w:hAnsi="Times New Roman" w:cs="Times New Roman"/>
          <w:i/>
          <w:iCs/>
          <w:sz w:val="18"/>
          <w:szCs w:val="18"/>
          <w:lang w:val="es-ES"/>
        </w:rPr>
        <w:t>eutroficación</w:t>
      </w:r>
      <w:proofErr w:type="spellEnd"/>
      <w:r>
        <w:rPr>
          <w:rFonts w:ascii="Times New Roman" w:hAnsi="Times New Roman" w:cs="Times New Roman"/>
          <w:i/>
          <w:iCs/>
          <w:sz w:val="18"/>
          <w:szCs w:val="18"/>
          <w:lang w:val="es-ES"/>
        </w:rPr>
        <w:t>)</w:t>
      </w:r>
      <w:r>
        <w:rPr>
          <w:rFonts w:ascii="Times New Roman" w:hAnsi="Times New Roman" w:cs="Times New Roman"/>
          <w:sz w:val="18"/>
          <w:szCs w:val="18"/>
          <w:lang w:val="es-ES"/>
        </w:rPr>
        <w:t xml:space="preserve">,  N2O contribuye al calentamiento global, </w:t>
      </w:r>
      <w:proofErr w:type="spellStart"/>
      <w:r>
        <w:rPr>
          <w:rFonts w:ascii="Times New Roman" w:hAnsi="Times New Roman" w:cs="Times New Roman"/>
          <w:sz w:val="18"/>
          <w:szCs w:val="18"/>
          <w:lang w:val="es-ES"/>
        </w:rPr>
        <w:t>NOx</w:t>
      </w:r>
      <w:proofErr w:type="spellEnd"/>
      <w:r>
        <w:rPr>
          <w:rFonts w:ascii="Times New Roman" w:hAnsi="Times New Roman" w:cs="Times New Roman"/>
          <w:sz w:val="18"/>
          <w:szCs w:val="18"/>
          <w:lang w:val="es-ES"/>
        </w:rPr>
        <w:t xml:space="preserve">  y NH4 crean las condiciones  para que las partículas sólidas, diminutas y en suspensión que se forman en el aire   afecten a la población y para que disparen las cargas críticas  del ecosistema en cuanto al nitrógeno que contienen las sustancias </w:t>
      </w:r>
      <w:proofErr w:type="spellStart"/>
      <w:r>
        <w:rPr>
          <w:rFonts w:ascii="Times New Roman" w:hAnsi="Times New Roman" w:cs="Times New Roman"/>
          <w:sz w:val="18"/>
          <w:szCs w:val="18"/>
          <w:lang w:val="es-ES"/>
        </w:rPr>
        <w:t>biogénicas</w:t>
      </w:r>
      <w:proofErr w:type="spellEnd"/>
      <w:r>
        <w:rPr>
          <w:rFonts w:ascii="Times New Roman" w:hAnsi="Times New Roman" w:cs="Times New Roman"/>
          <w:sz w:val="18"/>
          <w:szCs w:val="18"/>
          <w:lang w:val="es-ES"/>
        </w:rPr>
        <w:t xml:space="preserve">. Los cálculos preliminares  del balance general de nitrógeno en los distintos ecosistemas, realizados en Alemania, demuestran  que las emisiones  de las formas químicamente activas del nitrógeno contaminan el aire; y aunque   el 40% de NO3  se deposita en el agua, el 30% de las emisiones de NH4, el 25% de </w:t>
      </w:r>
      <w:proofErr w:type="spellStart"/>
      <w:r>
        <w:rPr>
          <w:rFonts w:ascii="Times New Roman" w:hAnsi="Times New Roman" w:cs="Times New Roman"/>
          <w:sz w:val="18"/>
          <w:szCs w:val="18"/>
          <w:lang w:val="es-ES"/>
        </w:rPr>
        <w:t>NOx</w:t>
      </w:r>
      <w:proofErr w:type="spellEnd"/>
      <w:r>
        <w:rPr>
          <w:rFonts w:ascii="Times New Roman" w:hAnsi="Times New Roman" w:cs="Times New Roman"/>
          <w:sz w:val="18"/>
          <w:szCs w:val="18"/>
          <w:lang w:val="es-ES"/>
        </w:rPr>
        <w:t xml:space="preserve"> y el 5% de N2O  van a parar a la atmósfera.</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sz w:val="18"/>
          <w:szCs w:val="18"/>
          <w:lang w:val="es-ES"/>
        </w:rPr>
        <w:t>Para paliar los efectos perniciosos del exceso de fertilizantes nitrogenados tradicionales que aportan los agricultores a los cultivos y para mejorar su rendimiento, así como para resolver los problemas ecológicos, económicos y de ahorro de energía  ha sido elaborada la tecnología de tratamiento de carbamida y salitre que permite obtener  una fórmula nueva  e inocua desde el punto de vista del impacto ambiental  del abono de quinta generación que ha sido patentado en Ucrania bajo el nombre de AGROPROTECTOR, cuya actualidad  se puede resumir  en los siguientes aspectos:</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b/>
          <w:bCs/>
          <w:sz w:val="18"/>
          <w:szCs w:val="18"/>
          <w:lang w:val="es-ES"/>
        </w:rPr>
        <w:t xml:space="preserve">                Aspectos agroindustriales   </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 AGROPROTECTOR  asegura las altas propiedades mecánicas  del abono mineral que excluyen el henchimiento  y apelmazamiento de las granulas  y elimina la amenaza de explosión de la salitre amoniacal e imposibilita su uso para fabricar las sustancias explosivas.</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Gracias a la presencia de la </w:t>
      </w:r>
      <w:proofErr w:type="spellStart"/>
      <w:r>
        <w:rPr>
          <w:rFonts w:ascii="Times New Roman" w:hAnsi="Times New Roman" w:cs="Times New Roman"/>
          <w:sz w:val="18"/>
          <w:szCs w:val="18"/>
          <w:lang w:val="es-ES"/>
        </w:rPr>
        <w:t>microflora</w:t>
      </w:r>
      <w:proofErr w:type="spellEnd"/>
      <w:r>
        <w:rPr>
          <w:rFonts w:ascii="Times New Roman" w:hAnsi="Times New Roman" w:cs="Times New Roman"/>
          <w:sz w:val="18"/>
          <w:szCs w:val="18"/>
          <w:lang w:val="es-ES"/>
        </w:rPr>
        <w:t xml:space="preserve"> bacteriana aeróbica y anaeróbica única en su género  controla los procesos de nitrificación y </w:t>
      </w:r>
      <w:proofErr w:type="spellStart"/>
      <w:r>
        <w:rPr>
          <w:rFonts w:ascii="Times New Roman" w:hAnsi="Times New Roman" w:cs="Times New Roman"/>
          <w:sz w:val="18"/>
          <w:szCs w:val="18"/>
          <w:lang w:val="es-ES"/>
        </w:rPr>
        <w:t>amonificación</w:t>
      </w:r>
      <w:proofErr w:type="spellEnd"/>
      <w:r>
        <w:rPr>
          <w:rFonts w:ascii="Times New Roman" w:hAnsi="Times New Roman" w:cs="Times New Roman"/>
          <w:sz w:val="18"/>
          <w:szCs w:val="18"/>
          <w:lang w:val="es-ES"/>
        </w:rPr>
        <w:t xml:space="preserve">  lo que potencia el nivel de asimilación  del nitrógeno  en el suelo. </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Aumenta considerablemente  el coeficiente de aprovechamiento de nitrógeno  del abono mineral, mejorando la calidad y el nivel de asimilación del fertilizante.</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Representa  un conjunto mineral natural con las propiedades de cambio de iones, así como con las propiedades atenuantes y de absorción. </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Es uno de los mejores inhibidores de la nitrificación que conserva  el nitrógeno mineral del suelo y fertilizante en forma de amonio excluyendo las pérdidas del nitrógeno  en caso de  usar la carbamida. </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Posee una alta capacidad del intercambio catiónico actuando como filtro iónico (zeolitas inteligentes) que permite acumular los principales nutrientes de las plantas  en forma de cationes voluminosos  y liberarlos  de forma paulatina y selectiva como resultado de las reacciones </w:t>
      </w:r>
      <w:proofErr w:type="spellStart"/>
      <w:r>
        <w:rPr>
          <w:rFonts w:ascii="Times New Roman" w:hAnsi="Times New Roman" w:cs="Times New Roman"/>
          <w:sz w:val="18"/>
          <w:szCs w:val="18"/>
          <w:lang w:val="es-ES"/>
        </w:rPr>
        <w:t>heterofásicas</w:t>
      </w:r>
      <w:proofErr w:type="spellEnd"/>
      <w:r>
        <w:rPr>
          <w:rFonts w:ascii="Times New Roman" w:hAnsi="Times New Roman" w:cs="Times New Roman"/>
          <w:sz w:val="18"/>
          <w:szCs w:val="18"/>
          <w:lang w:val="es-ES"/>
        </w:rPr>
        <w:t xml:space="preserve"> lentas.</w:t>
      </w:r>
    </w:p>
    <w:p w:rsidR="004C3739" w:rsidRDefault="004C3739" w:rsidP="004C3739">
      <w:pPr>
        <w:widowControl w:val="0"/>
        <w:numPr>
          <w:ilvl w:val="0"/>
          <w:numId w:val="1"/>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Contribuye a la saturación  de las plantas  con micro y macro- elementos, aumenta la productividad y durabilidad de todas las especies de legumbres,  frutas y verduras, disminuye la cantidad de plantas enfermas. Un ejemplo: al investigar  el efecto que produce AGROPROTECTOR sobre  la productividad de algodón y  la disminución de la morbilidad  de algodoneros se constató que el número de las plantas enfermas  se había reducido  1,8 veces y el rendimiento de la producción del mismo cultivo casi se había  duplicado, el  de avena  se había duplicado, el de cucurbitáceas había aumentado en 2-3 veces, el rendimiento de la producción de la  materia verde  de maíz  había sido 4 veces mayor que el  del campo de control.</w:t>
      </w:r>
    </w:p>
    <w:p w:rsidR="004C3739" w:rsidRDefault="004C3739" w:rsidP="004C3739">
      <w:pPr>
        <w:widowControl w:val="0"/>
        <w:autoSpaceDE w:val="0"/>
        <w:autoSpaceDN w:val="0"/>
        <w:adjustRightInd w:val="0"/>
        <w:rPr>
          <w:rFonts w:ascii="Times New Roman" w:hAnsi="Times New Roman" w:cs="Times New Roman"/>
          <w:sz w:val="18"/>
          <w:szCs w:val="18"/>
          <w:lang w:val="es-ES"/>
        </w:rPr>
      </w:pPr>
      <w:r>
        <w:rPr>
          <w:rFonts w:ascii="Times New Roman" w:hAnsi="Times New Roman" w:cs="Times New Roman"/>
          <w:b/>
          <w:bCs/>
          <w:sz w:val="18"/>
          <w:szCs w:val="18"/>
          <w:lang w:val="es-ES"/>
        </w:rPr>
        <w:t xml:space="preserve">               Aspectos ecológicos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El uso de AGROPROTECTROR evita la salinización del suelo que se produce como resultado  de la retrogradación de P y K en las formas  inasimilables por parte de las plantas.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lastRenderedPageBreak/>
        <w:t>El efecto de este fertilizante  excluye la dispersión de P  sobre la superficie del suelo y se efectúa la transformación  de las combinaciones inasimilables  de P y K  en completamente asimilables  para la nutrición vegetal.</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AGROPROTECTOR  no permite el desbalance de la correlación de los procesos de mineralización (nitrificación y </w:t>
      </w:r>
      <w:proofErr w:type="spellStart"/>
      <w:r>
        <w:rPr>
          <w:rFonts w:ascii="Times New Roman" w:hAnsi="Times New Roman" w:cs="Times New Roman"/>
          <w:sz w:val="18"/>
          <w:szCs w:val="18"/>
          <w:lang w:val="es-ES"/>
        </w:rPr>
        <w:t>amonificación</w:t>
      </w:r>
      <w:proofErr w:type="spellEnd"/>
      <w:r>
        <w:rPr>
          <w:rFonts w:ascii="Times New Roman" w:hAnsi="Times New Roman" w:cs="Times New Roman"/>
          <w:sz w:val="18"/>
          <w:szCs w:val="18"/>
          <w:lang w:val="es-ES"/>
        </w:rPr>
        <w:t>)  ni de la formación  de sustancias orgánicas nitrogenadas en  los suelos nitrógenos.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Tampoco se produce la remoción de nitratos de la capa fértil del suelo por la acción de lluvias, riego o  drenaje y su fijación en las capas  superiores o inferiores del suelo, ni la contaminación de las aguas subterráneas o superficiales.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Los componentes valiosos  no se transforman   en sustancias insolubles y por tanto inasimilables por parte de las plantas.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La aplicación de AGROPROTECTOR permite reducir a cero los flujos  cumulativos de las combinaciones nitrogenadas de los fertilizantes, ya que se trata de un peligro de primerísima actualidad para la solución de los problemas ecológicos globales (el efecto invernadero, la contaminación de ecosistemas) y la atenuación del brusco cambio climático en nuestro planeta.</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Al tener  una extensa superficie activa, AGROPROTECTOR  absorbe  expresa y selectivamente  amoniaco, sulfuro de hidrógeno, metano, hidrocarburos, fenol, </w:t>
      </w:r>
      <w:proofErr w:type="spellStart"/>
      <w:r>
        <w:rPr>
          <w:rFonts w:ascii="Times New Roman" w:hAnsi="Times New Roman" w:cs="Times New Roman"/>
          <w:sz w:val="18"/>
          <w:szCs w:val="18"/>
          <w:lang w:val="es-ES"/>
        </w:rPr>
        <w:t>exo</w:t>
      </w:r>
      <w:proofErr w:type="spellEnd"/>
      <w:r>
        <w:rPr>
          <w:rFonts w:ascii="Times New Roman" w:hAnsi="Times New Roman" w:cs="Times New Roman"/>
          <w:sz w:val="18"/>
          <w:szCs w:val="18"/>
          <w:lang w:val="es-ES"/>
        </w:rPr>
        <w:t xml:space="preserve">- y </w:t>
      </w:r>
      <w:proofErr w:type="spellStart"/>
      <w:r>
        <w:rPr>
          <w:rFonts w:ascii="Times New Roman" w:hAnsi="Times New Roman" w:cs="Times New Roman"/>
          <w:sz w:val="18"/>
          <w:szCs w:val="18"/>
          <w:lang w:val="es-ES"/>
        </w:rPr>
        <w:t>endo</w:t>
      </w:r>
      <w:proofErr w:type="spellEnd"/>
      <w:r>
        <w:rPr>
          <w:rFonts w:ascii="Times New Roman" w:hAnsi="Times New Roman" w:cs="Times New Roman"/>
          <w:sz w:val="18"/>
          <w:szCs w:val="18"/>
          <w:lang w:val="es-ES"/>
        </w:rPr>
        <w:t>-toxinas,  y tiene gran capacidad  hacia los derivados de petróleo. En cambio el proceso de desorción prácticamente brilla por su ausencia.  AGROPROTECTOR disminuye  el contenido de las sustancias peligrosas en el suelo impregnándolo  al propio tiempo de  minerales y micro-elementos  esenciales, restableciendo los procesos bioquímicos naturales y regula la acidez y el régimen hídrico del terreno.</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Dicho fertilizante  bloquea las combinaciones complejas  cancerígenas, los metales pesados y radionúclidos  y no permite que las plantas acumulen los nitratos.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Se obtiene la producción ecológicamente  pura, ya que no se necesitan los fungicidas ni insecticidas. </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La aplicación de  AGROPROTECTOR  excluye la emisión  del gas</w:t>
      </w:r>
      <w:r>
        <w:rPr>
          <w:rFonts w:ascii="Times New Roman" w:hAnsi="Times New Roman" w:cs="Times New Roman"/>
          <w:color w:val="FF2712"/>
          <w:sz w:val="18"/>
          <w:szCs w:val="18"/>
          <w:lang w:val="es-ES"/>
        </w:rPr>
        <w:t xml:space="preserve">  N2O</w:t>
      </w:r>
      <w:r>
        <w:rPr>
          <w:rFonts w:ascii="Times New Roman" w:hAnsi="Times New Roman" w:cs="Times New Roman"/>
          <w:sz w:val="18"/>
          <w:szCs w:val="18"/>
          <w:lang w:val="es-ES"/>
        </w:rPr>
        <w:t xml:space="preserve"> que es un gas de efecto invernadero  del dicho fertilizante lo que permitirá  reducir  la emisión de los gases  en el mundo en 1 500 millones de toneladas anuales. Por consiguiente,  este fertilizante  es ecológicamente inocuo y  se encuentra en consonancia  con el Protocolo de Kioto sobre la reducción de las emisiones de gases de efecto invernadero.</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b/>
          <w:bCs/>
          <w:sz w:val="18"/>
          <w:szCs w:val="18"/>
          <w:lang w:val="es-ES"/>
        </w:rPr>
        <w:t>Ahorro de energía y ventajas económicas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Como consecuencia de la mejora de  las propiedades del nuevo fertilizante  y su efecto más prolongado  se elimina la necesidad  de volver a abonar  las plantas  durante el verano y se reduce en dos veces  la aplicación de pesticidas lo que sumamente ventajoso en el plano económico.</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El costo relativamente bajo de los componentes del fertilizante, el abastecimiento  de los recursos y una política de precios razonable convierten este fertilizante  en un producto competitivo a todos los niveles y accesible para los agricultores.</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El aumento de la productividad  en dos y más veces propicia la realización de distintos programas alimenticios  y contribuye a evitar la hipotética crisis  alimentaria.</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 xml:space="preserve">Gracias a la innovación,  la ausencia de los análogos, una política  razonable de precios y la seguridad ecológica de la producción  en los próximos 3-5 años  será posible hacerse con una parte considerable del mercado mundial de fertilizante y conquistar los mercados de </w:t>
      </w:r>
      <w:proofErr w:type="spellStart"/>
      <w:r>
        <w:rPr>
          <w:rFonts w:ascii="Times New Roman" w:hAnsi="Times New Roman" w:cs="Times New Roman"/>
          <w:sz w:val="18"/>
          <w:szCs w:val="18"/>
          <w:lang w:val="es-ES"/>
        </w:rPr>
        <w:t>Africa</w:t>
      </w:r>
      <w:proofErr w:type="spellEnd"/>
      <w:r>
        <w:rPr>
          <w:rFonts w:ascii="Times New Roman" w:hAnsi="Times New Roman" w:cs="Times New Roman"/>
          <w:sz w:val="18"/>
          <w:szCs w:val="18"/>
          <w:lang w:val="es-ES"/>
        </w:rPr>
        <w:t xml:space="preserve">, Asia, Europa y América. </w:t>
      </w:r>
    </w:p>
    <w:p w:rsidR="004C3739" w:rsidRDefault="004C3739" w:rsidP="004C3739">
      <w:pPr>
        <w:widowControl w:val="0"/>
        <w:numPr>
          <w:ilvl w:val="0"/>
          <w:numId w:val="2"/>
        </w:numPr>
        <w:tabs>
          <w:tab w:val="left" w:pos="220"/>
          <w:tab w:val="left" w:pos="720"/>
        </w:tabs>
        <w:autoSpaceDE w:val="0"/>
        <w:autoSpaceDN w:val="0"/>
        <w:adjustRightInd w:val="0"/>
        <w:spacing w:after="200"/>
        <w:ind w:hanging="720"/>
        <w:rPr>
          <w:rFonts w:ascii="Times New Roman" w:hAnsi="Times New Roman" w:cs="Times New Roman"/>
          <w:sz w:val="18"/>
          <w:szCs w:val="18"/>
          <w:lang w:val="es-ES"/>
        </w:rPr>
      </w:pPr>
      <w:r>
        <w:rPr>
          <w:rFonts w:ascii="Times New Roman" w:hAnsi="Times New Roman" w:cs="Times New Roman"/>
          <w:sz w:val="18"/>
          <w:szCs w:val="18"/>
          <w:lang w:val="es-ES"/>
        </w:rPr>
        <w:t>Debido a que AGROPROTECTOR excluye totalmente los flujos  cumulativos de nitrógeno de los fertilizantes se hace  la realidad  la posible venta de cuotas de la emisión de gas N2O con efecto de invernadero.</w:t>
      </w:r>
    </w:p>
    <w:p w:rsidR="004C3739" w:rsidRDefault="004C3739" w:rsidP="004C3739">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18"/>
          <w:szCs w:val="18"/>
          <w:lang w:val="es-ES"/>
        </w:rPr>
      </w:pPr>
      <w:r>
        <w:rPr>
          <w:rFonts w:ascii="Times New Roman" w:hAnsi="Times New Roman" w:cs="Times New Roman"/>
          <w:sz w:val="18"/>
          <w:szCs w:val="18"/>
          <w:lang w:val="es-ES"/>
        </w:rPr>
        <w:t>El Instituto ucraniano “</w:t>
      </w:r>
      <w:proofErr w:type="spellStart"/>
      <w:r>
        <w:rPr>
          <w:rFonts w:ascii="Times New Roman" w:hAnsi="Times New Roman" w:cs="Times New Roman"/>
          <w:sz w:val="18"/>
          <w:szCs w:val="18"/>
          <w:lang w:val="es-ES"/>
        </w:rPr>
        <w:t>Sokolovski</w:t>
      </w:r>
      <w:proofErr w:type="spellEnd"/>
      <w:r>
        <w:rPr>
          <w:rFonts w:ascii="Times New Roman" w:hAnsi="Times New Roman" w:cs="Times New Roman"/>
          <w:sz w:val="18"/>
          <w:szCs w:val="18"/>
          <w:lang w:val="es-ES"/>
        </w:rPr>
        <w:t xml:space="preserve">” (en la ciudad de </w:t>
      </w:r>
      <w:proofErr w:type="spellStart"/>
      <w:r>
        <w:rPr>
          <w:rFonts w:ascii="Times New Roman" w:hAnsi="Times New Roman" w:cs="Times New Roman"/>
          <w:sz w:val="18"/>
          <w:szCs w:val="18"/>
          <w:lang w:val="es-ES"/>
        </w:rPr>
        <w:t>Kharkov</w:t>
      </w:r>
      <w:proofErr w:type="spellEnd"/>
      <w:r>
        <w:rPr>
          <w:rFonts w:ascii="Times New Roman" w:hAnsi="Times New Roman" w:cs="Times New Roman"/>
          <w:sz w:val="18"/>
          <w:szCs w:val="18"/>
          <w:lang w:val="es-ES"/>
        </w:rPr>
        <w:t>)  hizo las pruebas de campo de una partida experimental del fertilizante AGROPROTECTOR. Los resultados del experimento se citan en la tabla de abajo. Se anexa la copia del informe del Instituto que realizó el experimento acerca del aumento del rendimiento de producción  (Véase el Anexo 1)</w:t>
      </w:r>
    </w:p>
    <w:p w:rsidR="004C3739" w:rsidRDefault="004C3739" w:rsidP="004C3739">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18"/>
          <w:szCs w:val="18"/>
          <w:lang w:val="es-ES"/>
        </w:rPr>
      </w:pPr>
      <w:r>
        <w:rPr>
          <w:rFonts w:ascii="Times New Roman" w:hAnsi="Times New Roman" w:cs="Times New Roman"/>
          <w:b/>
          <w:bCs/>
          <w:sz w:val="18"/>
          <w:szCs w:val="18"/>
          <w:lang w:val="es-ES"/>
        </w:rPr>
        <w:t xml:space="preserve">         Beneficios y daños  del nitrógeno que contiene  1 tonelada del fertilizante nitrogenado</w:t>
      </w:r>
    </w:p>
    <w:tbl>
      <w:tblPr>
        <w:tblW w:w="0" w:type="auto"/>
        <w:tblBorders>
          <w:top w:val="nil"/>
          <w:left w:val="nil"/>
          <w:right w:val="nil"/>
        </w:tblBorders>
        <w:tblLayout w:type="fixed"/>
        <w:tblLook w:val="0000" w:firstRow="0" w:lastRow="0" w:firstColumn="0" w:lastColumn="0" w:noHBand="0" w:noVBand="0"/>
      </w:tblPr>
      <w:tblGrid>
        <w:gridCol w:w="1548"/>
        <w:gridCol w:w="1440"/>
        <w:gridCol w:w="1440"/>
        <w:gridCol w:w="1440"/>
        <w:gridCol w:w="1440"/>
        <w:gridCol w:w="1440"/>
      </w:tblGrid>
      <w:tr w:rsidR="004C3739">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4"/>
              </w:numPr>
              <w:tabs>
                <w:tab w:val="left" w:pos="220"/>
                <w:tab w:val="left" w:pos="720"/>
              </w:tabs>
              <w:autoSpaceDE w:val="0"/>
              <w:autoSpaceDN w:val="0"/>
              <w:adjustRightInd w:val="0"/>
              <w:ind w:hanging="720"/>
              <w:jc w:val="center"/>
              <w:rPr>
                <w:rFonts w:ascii="Times New Roman" w:hAnsi="Times New Roman" w:cs="Times New Roman"/>
                <w:sz w:val="16"/>
                <w:szCs w:val="16"/>
                <w:lang w:val="es-ES"/>
              </w:rPr>
            </w:pPr>
            <w:r>
              <w:rPr>
                <w:rFonts w:ascii="Times New Roman" w:hAnsi="Times New Roman" w:cs="Times New Roman"/>
                <w:sz w:val="16"/>
                <w:szCs w:val="16"/>
                <w:lang w:val="es-ES"/>
              </w:rPr>
              <w:t>Tipo de abono</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5"/>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6"/>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Carbamida o Urea del 46% producidas en serie</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AGROPROTECTOR</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8"/>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unidad</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9"/>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1</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0"/>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 xml:space="preserve">Nitrógeno  por 1 tonelada del fertilizante (materia seca), kg </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1"/>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460</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2"/>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230</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3"/>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4"/>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Cantidad de nitrógeno  de este tipo de fertilizante asimilado por las plantas</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5"/>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40%</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6"/>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90%</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7"/>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3</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8"/>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 xml:space="preserve">Nitrógeno por 1 tonelada de este tipo de fertilizante que asimilan las plantas, kg  </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19"/>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184</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0"/>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207</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1"/>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4</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2"/>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Nitrógeno  por 1 tonelada de fertilizante nitrogenado que contamina aire y suelo, kg</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3"/>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276</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4"/>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23</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5"/>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5</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6"/>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Reducción de emisiones  de nitrógeno  por usar 1 tonelada de fertilizante, veces</w:t>
            </w:r>
          </w:p>
          <w:p w:rsidR="004C3739" w:rsidRDefault="004C3739">
            <w:pPr>
              <w:widowControl w:val="0"/>
              <w:numPr>
                <w:ilvl w:val="0"/>
                <w:numId w:val="26"/>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7"/>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8"/>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12</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Borders>
            <w:top w:val="none" w:sz="0" w:space="0" w:color="auto"/>
          </w:tblBorders>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29"/>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6</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0"/>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Aumento de la asimilación de nitrógeno por las plantas, veces</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1"/>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2"/>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2,25</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r w:rsidR="004C3739">
        <w:tblPrEx>
          <w:tblCellMar>
            <w:top w:w="0" w:type="dxa"/>
            <w:bottom w:w="0" w:type="dxa"/>
          </w:tblCellMar>
        </w:tblPrEx>
        <w:tc>
          <w:tcPr>
            <w:tcW w:w="15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3"/>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7</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4"/>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Aumento del rendimiento de los cultivos agrarios, veces</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5"/>
              </w:numPr>
              <w:tabs>
                <w:tab w:val="left" w:pos="220"/>
                <w:tab w:val="left" w:pos="720"/>
              </w:tabs>
              <w:autoSpaceDE w:val="0"/>
              <w:autoSpaceDN w:val="0"/>
              <w:adjustRightInd w:val="0"/>
              <w:ind w:hanging="72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numPr>
                <w:ilvl w:val="0"/>
                <w:numId w:val="36"/>
              </w:numPr>
              <w:tabs>
                <w:tab w:val="left" w:pos="220"/>
                <w:tab w:val="left" w:pos="720"/>
              </w:tabs>
              <w:autoSpaceDE w:val="0"/>
              <w:autoSpaceDN w:val="0"/>
              <w:adjustRightInd w:val="0"/>
              <w:ind w:hanging="720"/>
              <w:rPr>
                <w:rFonts w:ascii="Times New Roman" w:hAnsi="Times New Roman" w:cs="Times New Roman"/>
                <w:sz w:val="16"/>
                <w:szCs w:val="16"/>
                <w:lang w:val="es-ES"/>
              </w:rPr>
            </w:pPr>
            <w:r>
              <w:rPr>
                <w:rFonts w:ascii="Times New Roman" w:hAnsi="Times New Roman" w:cs="Times New Roman"/>
                <w:sz w:val="16"/>
                <w:szCs w:val="16"/>
                <w:lang w:val="es-ES"/>
              </w:rPr>
              <w:t>2</w:t>
            </w: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c>
          <w:tcPr>
            <w:tcW w:w="144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C3739" w:rsidRDefault="004C3739">
            <w:pPr>
              <w:widowControl w:val="0"/>
              <w:autoSpaceDE w:val="0"/>
              <w:autoSpaceDN w:val="0"/>
              <w:adjustRightInd w:val="0"/>
              <w:rPr>
                <w:rFonts w:ascii="Times New Roman" w:hAnsi="Times New Roman" w:cs="Times New Roman"/>
                <w:sz w:val="16"/>
                <w:szCs w:val="16"/>
                <w:lang w:val="es-ES"/>
              </w:rPr>
            </w:pPr>
          </w:p>
        </w:tc>
      </w:tr>
    </w:tbl>
    <w:p w:rsidR="004C3739" w:rsidRDefault="004C3739" w:rsidP="004C3739">
      <w:pPr>
        <w:widowControl w:val="0"/>
        <w:autoSpaceDE w:val="0"/>
        <w:autoSpaceDN w:val="0"/>
        <w:adjustRightInd w:val="0"/>
        <w:rPr>
          <w:rFonts w:ascii="Times New Roman" w:hAnsi="Times New Roman" w:cs="Times New Roman"/>
          <w:sz w:val="16"/>
          <w:szCs w:val="16"/>
          <w:lang w:val="es-ES"/>
        </w:rPr>
      </w:pPr>
    </w:p>
    <w:p w:rsidR="004C3739" w:rsidRDefault="004C3739" w:rsidP="004C3739">
      <w:pPr>
        <w:widowControl w:val="0"/>
        <w:autoSpaceDE w:val="0"/>
        <w:autoSpaceDN w:val="0"/>
        <w:adjustRightInd w:val="0"/>
        <w:rPr>
          <w:rFonts w:ascii="Times New Roman" w:hAnsi="Times New Roman" w:cs="Times New Roman"/>
          <w:sz w:val="22"/>
          <w:szCs w:val="22"/>
          <w:lang w:val="es-ES"/>
        </w:rPr>
      </w:pPr>
      <w:r>
        <w:rPr>
          <w:rFonts w:ascii="Times New Roman" w:hAnsi="Times New Roman" w:cs="Times New Roman"/>
          <w:sz w:val="22"/>
          <w:szCs w:val="22"/>
          <w:lang w:val="es-ES"/>
        </w:rPr>
        <w:t>OBJETIVOS I DESCRIPCION DEL PROYECTO</w:t>
      </w:r>
    </w:p>
    <w:p w:rsidR="004C3739" w:rsidRDefault="004C3739" w:rsidP="004C3739">
      <w:pPr>
        <w:widowControl w:val="0"/>
        <w:autoSpaceDE w:val="0"/>
        <w:autoSpaceDN w:val="0"/>
        <w:adjustRightInd w:val="0"/>
        <w:rPr>
          <w:rFonts w:ascii="Times New Roman" w:hAnsi="Times New Roman" w:cs="Times New Roman"/>
          <w:sz w:val="22"/>
          <w:szCs w:val="22"/>
          <w:lang w:val="es-ES"/>
        </w:rPr>
      </w:pP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b/>
          <w:bCs/>
          <w:sz w:val="16"/>
          <w:szCs w:val="16"/>
          <w:lang w:val="es-ES"/>
        </w:rPr>
        <w:t>OBJETIVO  DEL PROYECTO  CONSISTE EN LA CREACION DE UN COMPLEJO DE FABRICAS DE PRODUCCIÓN  DE ABONO ECOLOGICAMENTE INOCUO “AGROPROTECTOR” DE 5 GENERACIÓN QUE SUSTITUYE LA CARBAMIDA.</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i/>
          <w:iCs/>
          <w:sz w:val="16"/>
          <w:szCs w:val="16"/>
          <w:lang w:val="es-ES"/>
        </w:rPr>
        <w:t>Para realizar el proyecto  habrá que invertir  cerca de 30-40 millones de euros. El plazo de la  recuperación de la inversión hecha en un complejo que va a producir anualmente  200 000 toneladas de abono de gran eficacia es de 4 años (incluidos 2 años invertidos en la elaboración del proyecto y en la construcción) Un complejo generará  220 nuevas  plazas de trabajo.</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b/>
          <w:bCs/>
          <w:i/>
          <w:iCs/>
          <w:sz w:val="16"/>
          <w:szCs w:val="16"/>
          <w:lang w:val="es-ES"/>
        </w:rPr>
        <w:t>La idea de la primera etapa de un negocio  altamente rentable y de grandes perspectivas, basado en la implantación de know-how consiste en lo siguiente:</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sz w:val="16"/>
          <w:szCs w:val="16"/>
          <w:lang w:val="es-ES"/>
        </w:rPr>
        <w:t>Sacar al mercado mundial  el abono de  quinta generación AGROPROTECTOR que fue patentado y probado en Ucrania. En su fabricación los componentes  costosos  los sustituye una materia prima asequible y de bajo coste, pero  en cuanto a sus cualidades nutritivas para las plantas  dicho abono  es mucho más eficaz que los fertilizantes minerales tradicionales.</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b/>
          <w:bCs/>
          <w:sz w:val="16"/>
          <w:szCs w:val="16"/>
          <w:lang w:val="es-ES"/>
        </w:rPr>
        <w:t xml:space="preserve">Actualmente  en Ucrania está patentada la tecnología   de la producción de “Abono mineral granulado AGROPROTECTOR” (Patente Nº 96506) y se lleva a cabo la labor de  patentarla  a nivel internacional. Se ha finalizado  un trabajo de muchos años  cuyo resultado es la´ tecnología de fabricación de los fertilizantes de la sexta generación.  (Abonos minerales de gran capacidad y de acción prolongada con la liberación controlada de nutrientes. Patente Nº 107646), existen  otros trabajos innovadores y de gran alcance en esta área. </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b/>
          <w:bCs/>
          <w:sz w:val="16"/>
          <w:szCs w:val="16"/>
          <w:lang w:val="es-ES"/>
        </w:rPr>
        <w:t>Complejo de producción de AGROPROTECTOR</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sz w:val="16"/>
          <w:szCs w:val="16"/>
          <w:lang w:val="es-ES"/>
        </w:rPr>
        <w:t xml:space="preserve">La materia prima para fabricar AGROPROTECTOR consta de dos componentes: carbamida (que  se adquiere en cualquier fábrica química o se recurre al trueque) y el concentrado de arena  </w:t>
      </w:r>
      <w:proofErr w:type="spellStart"/>
      <w:r>
        <w:rPr>
          <w:rFonts w:ascii="Times New Roman" w:hAnsi="Times New Roman" w:cs="Times New Roman"/>
          <w:sz w:val="16"/>
          <w:szCs w:val="16"/>
          <w:lang w:val="es-ES"/>
        </w:rPr>
        <w:t>glauconítica</w:t>
      </w:r>
      <w:proofErr w:type="spellEnd"/>
      <w:r>
        <w:rPr>
          <w:rFonts w:ascii="Times New Roman" w:hAnsi="Times New Roman" w:cs="Times New Roman"/>
          <w:sz w:val="16"/>
          <w:szCs w:val="16"/>
          <w:lang w:val="es-ES"/>
        </w:rPr>
        <w:t xml:space="preserve"> de cantera que  está tratado según las tecnologías  know-how propias. De esta forma  estamos planeando  a crear un complejo de producción  de AGROPROTECTOR  que consta de dos partes:</w:t>
      </w:r>
    </w:p>
    <w:p w:rsidR="004C3739" w:rsidRDefault="004C3739" w:rsidP="004C3739">
      <w:pPr>
        <w:widowControl w:val="0"/>
        <w:numPr>
          <w:ilvl w:val="0"/>
          <w:numId w:val="37"/>
        </w:numPr>
        <w:tabs>
          <w:tab w:val="left" w:pos="220"/>
          <w:tab w:val="left" w:pos="720"/>
        </w:tabs>
        <w:autoSpaceDE w:val="0"/>
        <w:autoSpaceDN w:val="0"/>
        <w:adjustRightInd w:val="0"/>
        <w:spacing w:after="200"/>
        <w:ind w:hanging="720"/>
        <w:rPr>
          <w:rFonts w:ascii="Times New Roman" w:hAnsi="Times New Roman" w:cs="Times New Roman"/>
          <w:sz w:val="16"/>
          <w:szCs w:val="16"/>
          <w:lang w:val="es-ES"/>
        </w:rPr>
      </w:pPr>
      <w:r>
        <w:rPr>
          <w:rFonts w:ascii="Times New Roman" w:hAnsi="Times New Roman" w:cs="Times New Roman"/>
          <w:sz w:val="16"/>
          <w:szCs w:val="16"/>
          <w:lang w:val="es-ES"/>
        </w:rPr>
        <w:t xml:space="preserve">Producción del concentrado </w:t>
      </w:r>
      <w:proofErr w:type="spellStart"/>
      <w:r>
        <w:rPr>
          <w:rFonts w:ascii="Times New Roman" w:hAnsi="Times New Roman" w:cs="Times New Roman"/>
          <w:sz w:val="16"/>
          <w:szCs w:val="16"/>
          <w:lang w:val="es-ES"/>
        </w:rPr>
        <w:t>glauconitico</w:t>
      </w:r>
      <w:proofErr w:type="spellEnd"/>
      <w:r>
        <w:rPr>
          <w:rFonts w:ascii="Times New Roman" w:hAnsi="Times New Roman" w:cs="Times New Roman"/>
          <w:sz w:val="16"/>
          <w:szCs w:val="16"/>
          <w:lang w:val="es-ES"/>
        </w:rPr>
        <w:t xml:space="preserve"> que incluye:</w:t>
      </w:r>
    </w:p>
    <w:p w:rsidR="004C3739" w:rsidRDefault="004C3739" w:rsidP="004C3739">
      <w:pPr>
        <w:widowControl w:val="0"/>
        <w:autoSpaceDE w:val="0"/>
        <w:autoSpaceDN w:val="0"/>
        <w:adjustRightInd w:val="0"/>
        <w:spacing w:after="200"/>
        <w:ind w:left="720"/>
        <w:rPr>
          <w:rFonts w:ascii="Times New Roman" w:hAnsi="Times New Roman" w:cs="Times New Roman"/>
          <w:sz w:val="16"/>
          <w:szCs w:val="16"/>
          <w:lang w:val="es-ES"/>
        </w:rPr>
      </w:pPr>
      <w:r>
        <w:rPr>
          <w:rFonts w:ascii="Times New Roman" w:hAnsi="Times New Roman" w:cs="Times New Roman"/>
          <w:sz w:val="16"/>
          <w:szCs w:val="16"/>
          <w:lang w:val="es-ES"/>
        </w:rPr>
        <w:t xml:space="preserve">-cantera de extracción de arena </w:t>
      </w:r>
      <w:proofErr w:type="spellStart"/>
      <w:r>
        <w:rPr>
          <w:rFonts w:ascii="Times New Roman" w:hAnsi="Times New Roman" w:cs="Times New Roman"/>
          <w:sz w:val="16"/>
          <w:szCs w:val="16"/>
          <w:lang w:val="es-ES"/>
        </w:rPr>
        <w:t>glauconítica</w:t>
      </w:r>
      <w:proofErr w:type="spellEnd"/>
    </w:p>
    <w:p w:rsidR="004C3739" w:rsidRDefault="004C3739" w:rsidP="004C3739">
      <w:pPr>
        <w:widowControl w:val="0"/>
        <w:autoSpaceDE w:val="0"/>
        <w:autoSpaceDN w:val="0"/>
        <w:adjustRightInd w:val="0"/>
        <w:spacing w:after="200"/>
        <w:ind w:left="720"/>
        <w:rPr>
          <w:rFonts w:ascii="Times New Roman" w:hAnsi="Times New Roman" w:cs="Times New Roman"/>
          <w:sz w:val="16"/>
          <w:szCs w:val="16"/>
          <w:lang w:val="es-ES"/>
        </w:rPr>
      </w:pPr>
      <w:r>
        <w:rPr>
          <w:rFonts w:ascii="Times New Roman" w:hAnsi="Times New Roman" w:cs="Times New Roman"/>
          <w:sz w:val="16"/>
          <w:szCs w:val="16"/>
          <w:lang w:val="es-ES"/>
        </w:rPr>
        <w:t>-planta de enriquecimiento de arena</w:t>
      </w:r>
    </w:p>
    <w:p w:rsidR="004C3739" w:rsidRDefault="004C3739" w:rsidP="004C3739">
      <w:pPr>
        <w:widowControl w:val="0"/>
        <w:autoSpaceDE w:val="0"/>
        <w:autoSpaceDN w:val="0"/>
        <w:adjustRightInd w:val="0"/>
        <w:spacing w:after="200"/>
        <w:ind w:left="720"/>
        <w:rPr>
          <w:rFonts w:ascii="Times New Roman" w:hAnsi="Times New Roman" w:cs="Times New Roman"/>
          <w:sz w:val="16"/>
          <w:szCs w:val="16"/>
          <w:lang w:val="es-ES"/>
        </w:rPr>
      </w:pPr>
      <w:r>
        <w:rPr>
          <w:rFonts w:ascii="Times New Roman" w:hAnsi="Times New Roman" w:cs="Times New Roman"/>
          <w:sz w:val="16"/>
          <w:szCs w:val="16"/>
          <w:lang w:val="es-ES"/>
        </w:rPr>
        <w:t xml:space="preserve">- planta de producción del concentrado </w:t>
      </w:r>
      <w:proofErr w:type="spellStart"/>
      <w:r>
        <w:rPr>
          <w:rFonts w:ascii="Times New Roman" w:hAnsi="Times New Roman" w:cs="Times New Roman"/>
          <w:sz w:val="16"/>
          <w:szCs w:val="16"/>
          <w:lang w:val="es-ES"/>
        </w:rPr>
        <w:t>glauconitico</w:t>
      </w:r>
      <w:proofErr w:type="spellEnd"/>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sz w:val="16"/>
          <w:szCs w:val="16"/>
          <w:lang w:val="es-ES"/>
        </w:rPr>
        <w:t xml:space="preserve">       2. Fabricación de AGROPROTECTOR</w:t>
      </w:r>
    </w:p>
    <w:p w:rsidR="004C3739" w:rsidRDefault="004C3739" w:rsidP="004C3739">
      <w:pPr>
        <w:widowControl w:val="0"/>
        <w:numPr>
          <w:ilvl w:val="1"/>
          <w:numId w:val="38"/>
        </w:numPr>
        <w:tabs>
          <w:tab w:val="left" w:pos="940"/>
          <w:tab w:val="left" w:pos="1440"/>
        </w:tabs>
        <w:autoSpaceDE w:val="0"/>
        <w:autoSpaceDN w:val="0"/>
        <w:adjustRightInd w:val="0"/>
        <w:ind w:hanging="1440"/>
        <w:rPr>
          <w:rFonts w:ascii="Times New Roman" w:hAnsi="Times New Roman" w:cs="Times New Roman"/>
          <w:sz w:val="16"/>
          <w:szCs w:val="16"/>
          <w:lang w:val="es-ES"/>
        </w:rPr>
      </w:pPr>
      <w:r>
        <w:rPr>
          <w:rFonts w:ascii="Times New Roman" w:hAnsi="Times New Roman" w:cs="Times New Roman"/>
          <w:sz w:val="16"/>
          <w:szCs w:val="16"/>
          <w:lang w:val="es-ES"/>
        </w:rPr>
        <w:t>planta-módulo  de producción de AGROPROTECTOR</w:t>
      </w:r>
    </w:p>
    <w:p w:rsidR="004C3739" w:rsidRDefault="004C3739" w:rsidP="004C3739">
      <w:pPr>
        <w:widowControl w:val="0"/>
        <w:autoSpaceDE w:val="0"/>
        <w:autoSpaceDN w:val="0"/>
        <w:adjustRightInd w:val="0"/>
        <w:rPr>
          <w:rFonts w:ascii="Times New Roman" w:hAnsi="Times New Roman" w:cs="Times New Roman"/>
          <w:sz w:val="16"/>
          <w:szCs w:val="16"/>
          <w:lang w:val="es-ES"/>
        </w:rPr>
      </w:pP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sz w:val="16"/>
          <w:szCs w:val="16"/>
          <w:lang w:val="es-ES"/>
        </w:rPr>
        <w:t xml:space="preserve">El complejo de producción de AGROPROTECTOR no tendrá problemas   con la materia prima. El volumen mundial de la producción de carbamida  es mayor que la demanda y es de más de 200 millones de toneladas anuales y las reservas mundial de arena </w:t>
      </w:r>
      <w:proofErr w:type="spellStart"/>
      <w:r>
        <w:rPr>
          <w:rFonts w:ascii="Times New Roman" w:hAnsi="Times New Roman" w:cs="Times New Roman"/>
          <w:sz w:val="16"/>
          <w:szCs w:val="16"/>
          <w:lang w:val="es-ES"/>
        </w:rPr>
        <w:t>glauconitica</w:t>
      </w:r>
      <w:proofErr w:type="spellEnd"/>
      <w:r>
        <w:rPr>
          <w:rFonts w:ascii="Times New Roman" w:hAnsi="Times New Roman" w:cs="Times New Roman"/>
          <w:sz w:val="16"/>
          <w:szCs w:val="16"/>
          <w:lang w:val="es-ES"/>
        </w:rPr>
        <w:t xml:space="preserve"> (se trata de una arena de bajo costo y poca demanda que contiene los componentes tan importantes   para los fertilizantes minerales  complejos como material absorbente, fósforo y salitre) es de 40 miles de millones de toneladas. </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b/>
          <w:bCs/>
          <w:sz w:val="16"/>
          <w:szCs w:val="16"/>
          <w:lang w:val="es-ES"/>
        </w:rPr>
        <w:t>Rentabilidad de fabricación de AGROPROTECTOR</w:t>
      </w:r>
    </w:p>
    <w:p w:rsidR="004C3739" w:rsidRDefault="004C3739" w:rsidP="004C3739">
      <w:pPr>
        <w:widowControl w:val="0"/>
        <w:autoSpaceDE w:val="0"/>
        <w:autoSpaceDN w:val="0"/>
        <w:adjustRightInd w:val="0"/>
        <w:rPr>
          <w:rFonts w:ascii="Times New Roman" w:hAnsi="Times New Roman" w:cs="Times New Roman"/>
          <w:sz w:val="16"/>
          <w:szCs w:val="16"/>
          <w:lang w:val="es-ES"/>
        </w:rPr>
      </w:pPr>
      <w:r>
        <w:rPr>
          <w:rFonts w:ascii="Times New Roman" w:hAnsi="Times New Roman" w:cs="Times New Roman"/>
          <w:sz w:val="16"/>
          <w:szCs w:val="16"/>
          <w:lang w:val="es-ES"/>
        </w:rPr>
        <w:t xml:space="preserve">La tecnología de producción de AGROPROTECTOR  se basa en el método de  encapsulamiento  de cada gránulo  de carbamida  por medio de un recubrimiento de glauconita. Cabe señalar  que los componentes de materia prima se aprovechan tecnológicamente  (se sustituyen)  en proporciones  iguales en cuanto al peso, aunque el precio  del mercado de carbamida  es de cerca de 400 EUR por una tonelada, mientras que el precio de arena </w:t>
      </w:r>
      <w:proofErr w:type="spellStart"/>
      <w:r>
        <w:rPr>
          <w:rFonts w:ascii="Times New Roman" w:hAnsi="Times New Roman" w:cs="Times New Roman"/>
          <w:sz w:val="16"/>
          <w:szCs w:val="16"/>
          <w:lang w:val="es-ES"/>
        </w:rPr>
        <w:t>glauconitica</w:t>
      </w:r>
      <w:proofErr w:type="spellEnd"/>
      <w:r>
        <w:rPr>
          <w:rFonts w:ascii="Times New Roman" w:hAnsi="Times New Roman" w:cs="Times New Roman"/>
          <w:sz w:val="16"/>
          <w:szCs w:val="16"/>
          <w:lang w:val="es-ES"/>
        </w:rPr>
        <w:t xml:space="preserve">  que lo sustituye es  de unos 60 EUR por una tonelada. En total los gastos de producción  y tratamiento de arena y de fabricación de AGROPROTECTOR   ascienden a unos 30%  del precio de materia prima. Por consiguiente  el precio de coste de AGROPROTECTOR es  de:</w:t>
      </w:r>
    </w:p>
    <w:p w:rsidR="004C3739" w:rsidRDefault="004C3739" w:rsidP="004C3739">
      <w:pPr>
        <w:widowControl w:val="0"/>
        <w:autoSpaceDE w:val="0"/>
        <w:autoSpaceDN w:val="0"/>
        <w:adjustRightInd w:val="0"/>
        <w:rPr>
          <w:rFonts w:ascii="Arial Unicode MS" w:eastAsia="Arial Unicode MS" w:hAnsi="Times New Roman" w:cs="Arial Unicode MS"/>
          <w:sz w:val="16"/>
          <w:szCs w:val="16"/>
          <w:lang w:val="es-ES"/>
        </w:rPr>
      </w:pPr>
      <w:r>
        <w:rPr>
          <w:rFonts w:ascii="Arial Unicode MS" w:eastAsia="Arial Unicode MS" w:hAnsi="Times New Roman" w:cs="Arial Unicode MS"/>
          <w:sz w:val="16"/>
          <w:szCs w:val="16"/>
          <w:lang w:val="es-ES"/>
        </w:rPr>
        <w:t>{0,5 toneladas  x 400 EUR/tonelada (carbamida)  + 0,5 toneladas  x 60 EUR /tonelada  (arena)} x 130% = 299 EUR/tonelada.</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En el supuesto de que vamos a vender  AGROPROTECTOR  por el precio de carbamida como su peor análogo, o sea por 400EUR/ tonelada, el beneficio  será de cerca de 100 EUR/tonelada, lo que nos arroja un 25% de rentabilidad. La recuperación de la inversión en el proyecto del complejo de producción de AGROPROTECTOR  con una capacidad de 200 000 toneladas anuales  será  de 2 años de funcionamiento del complejo.</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b/>
          <w:bCs/>
          <w:sz w:val="16"/>
          <w:szCs w:val="16"/>
          <w:lang w:val="es-ES"/>
        </w:rPr>
        <w:t>Perspectivas de desarrollo del negocio</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La creación de una red  de plantas  de tratamiento de fertilizantes nitrogenados  ecológicamente peligrosos en abono de quinta generación (AGROPROTECTOR) que ha sido patentado y probado en Ucrania, esto a día de hoy no está representado en el mercado mundial. Actualmente  el volumen mundial de producción/ consumo de fertilizantes nitrogenados  es de unos 200 millones de toneladas, lo que abre amplias perspectivas para nuestro negocio, ya que vamos a transformar estos fertilizantes  ecológicamente peligrosos en inocuos.</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El plazo en que  se recupera  la inversión en la producción de AGROPROTECTOR prácticamente  de cualquier capacidad no supera 3 años, debido a las carencias del mercado mundial y la ausencia de los abonos análogos de este nivel.</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p>
    <w:p w:rsidR="004C3739" w:rsidRDefault="004C3739" w:rsidP="004C3739">
      <w:pPr>
        <w:widowControl w:val="0"/>
        <w:autoSpaceDE w:val="0"/>
        <w:autoSpaceDN w:val="0"/>
        <w:adjustRightInd w:val="0"/>
        <w:rPr>
          <w:rFonts w:ascii="Times New Roman" w:eastAsia="Arial Unicode MS" w:hAnsi="Times New Roman" w:cs="Times New Roman"/>
          <w:sz w:val="22"/>
          <w:szCs w:val="22"/>
          <w:lang w:val="es-ES"/>
        </w:rPr>
      </w:pPr>
      <w:r>
        <w:rPr>
          <w:rFonts w:ascii="Times New Roman" w:eastAsia="Arial Unicode MS" w:hAnsi="Times New Roman" w:cs="Times New Roman"/>
          <w:sz w:val="22"/>
          <w:szCs w:val="22"/>
          <w:lang w:val="es-ES"/>
        </w:rPr>
        <w:t>IMPACTO ESPERADO (NECESIDAD A LA QUE RESPONDE EL PROYECTO)</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Liderazgo en el área de las tecnologías innovadoras.</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Desarrollo e introducción de nuevos tipos de fertilizantes de 5 ª generación.</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Participación en los programas de seguridad alimentaria mundial (gracias al aumento del rendimiento de la agricultura por dos veces)</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La participación en la realización de programas internacionales:</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La seguridad ecológica</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"Salvar el planeta de la destrucción del medio ambiente"</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Impacto económico:</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 xml:space="preserve">La ganancia de la realización de la producción de una fabrica representa no menos de 80 </w:t>
      </w:r>
      <w:proofErr w:type="spellStart"/>
      <w:r>
        <w:rPr>
          <w:rFonts w:ascii="Times New Roman" w:eastAsia="Arial Unicode MS" w:hAnsi="Times New Roman" w:cs="Times New Roman"/>
          <w:sz w:val="16"/>
          <w:szCs w:val="16"/>
          <w:lang w:val="es-ES"/>
        </w:rPr>
        <w:t>milliones</w:t>
      </w:r>
      <w:proofErr w:type="spellEnd"/>
      <w:r>
        <w:rPr>
          <w:rFonts w:ascii="Times New Roman" w:eastAsia="Arial Unicode MS" w:hAnsi="Times New Roman" w:cs="Times New Roman"/>
          <w:sz w:val="16"/>
          <w:szCs w:val="16"/>
          <w:lang w:val="es-ES"/>
        </w:rPr>
        <w:t xml:space="preserve"> de euros, y el beneficio anual es de más de 20 </w:t>
      </w:r>
      <w:proofErr w:type="spellStart"/>
      <w:r>
        <w:rPr>
          <w:rFonts w:ascii="Times New Roman" w:eastAsia="Arial Unicode MS" w:hAnsi="Times New Roman" w:cs="Times New Roman"/>
          <w:sz w:val="16"/>
          <w:szCs w:val="16"/>
          <w:lang w:val="es-ES"/>
        </w:rPr>
        <w:t>milliones</w:t>
      </w:r>
      <w:proofErr w:type="spellEnd"/>
      <w:r>
        <w:rPr>
          <w:rFonts w:ascii="Times New Roman" w:eastAsia="Arial Unicode MS" w:hAnsi="Times New Roman" w:cs="Times New Roman"/>
          <w:sz w:val="16"/>
          <w:szCs w:val="16"/>
          <w:lang w:val="es-ES"/>
        </w:rPr>
        <w:t xml:space="preserve"> (versión pesimista).</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Creación de nuevos puestos de trabajo. Sólo en la fabrica “</w:t>
      </w:r>
      <w:proofErr w:type="spellStart"/>
      <w:r>
        <w:rPr>
          <w:rFonts w:ascii="Times New Roman" w:eastAsia="Arial Unicode MS" w:hAnsi="Times New Roman" w:cs="Times New Roman"/>
          <w:sz w:val="16"/>
          <w:szCs w:val="16"/>
          <w:lang w:val="es-ES"/>
        </w:rPr>
        <w:t>Agroprotektor</w:t>
      </w:r>
      <w:proofErr w:type="spellEnd"/>
      <w:r>
        <w:rPr>
          <w:rFonts w:ascii="Times New Roman" w:eastAsia="Arial Unicode MS" w:hAnsi="Times New Roman" w:cs="Times New Roman"/>
          <w:sz w:val="16"/>
          <w:szCs w:val="16"/>
          <w:lang w:val="es-ES"/>
        </w:rPr>
        <w:t>” 250 en sectores relacionados:  la ciencia, la construcción, la minería, el transporte, la metalurgia, etc.) más de 1000.</w:t>
      </w:r>
    </w:p>
    <w:p w:rsidR="004C3739" w:rsidRDefault="004C3739" w:rsidP="004C3739">
      <w:pPr>
        <w:widowControl w:val="0"/>
        <w:numPr>
          <w:ilvl w:val="0"/>
          <w:numId w:val="39"/>
        </w:numPr>
        <w:tabs>
          <w:tab w:val="left" w:pos="220"/>
          <w:tab w:val="left" w:pos="720"/>
        </w:tabs>
        <w:autoSpaceDE w:val="0"/>
        <w:autoSpaceDN w:val="0"/>
        <w:adjustRightInd w:val="0"/>
        <w:ind w:hanging="72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w:t>
      </w:r>
      <w:proofErr w:type="spellStart"/>
      <w:r>
        <w:rPr>
          <w:rFonts w:ascii="Times New Roman" w:eastAsia="Arial Unicode MS" w:hAnsi="Times New Roman" w:cs="Times New Roman"/>
          <w:sz w:val="16"/>
          <w:szCs w:val="16"/>
          <w:lang w:val="es-ES"/>
        </w:rPr>
        <w:t>Agroprotektor</w:t>
      </w:r>
      <w:proofErr w:type="spellEnd"/>
      <w:r>
        <w:rPr>
          <w:rFonts w:ascii="Times New Roman" w:eastAsia="Arial Unicode MS" w:hAnsi="Times New Roman" w:cs="Times New Roman"/>
          <w:sz w:val="16"/>
          <w:szCs w:val="16"/>
          <w:lang w:val="es-ES"/>
        </w:rPr>
        <w:t>” proporciona altas propiedades mecánicas de los fertilizantes minerales, hinchazón eliminando, el aplazamiento de los gránulos elimina el riesgo de explosión de nitrato de amoniaco.</w:t>
      </w:r>
    </w:p>
    <w:p w:rsidR="004C3739" w:rsidRDefault="004C3739" w:rsidP="004C3739">
      <w:pPr>
        <w:widowControl w:val="0"/>
        <w:autoSpaceDE w:val="0"/>
        <w:autoSpaceDN w:val="0"/>
        <w:adjustRightInd w:val="0"/>
        <w:rPr>
          <w:rFonts w:ascii="Times New Roman" w:eastAsia="Arial Unicode MS" w:hAnsi="Times New Roman" w:cs="Times New Roman"/>
          <w:sz w:val="22"/>
          <w:szCs w:val="22"/>
          <w:lang w:val="es-ES"/>
        </w:rPr>
      </w:pPr>
    </w:p>
    <w:p w:rsidR="004C3739" w:rsidRDefault="004C3739" w:rsidP="004C3739">
      <w:pPr>
        <w:widowControl w:val="0"/>
        <w:autoSpaceDE w:val="0"/>
        <w:autoSpaceDN w:val="0"/>
        <w:adjustRightInd w:val="0"/>
        <w:rPr>
          <w:rFonts w:ascii="Times New Roman" w:eastAsia="Arial Unicode MS" w:hAnsi="Times New Roman" w:cs="Times New Roman"/>
          <w:sz w:val="22"/>
          <w:szCs w:val="22"/>
          <w:lang w:val="es-ES"/>
        </w:rPr>
      </w:pPr>
      <w:r>
        <w:rPr>
          <w:rFonts w:ascii="Times New Roman" w:eastAsia="Arial Unicode MS" w:hAnsi="Times New Roman" w:cs="Times New Roman"/>
          <w:sz w:val="22"/>
          <w:szCs w:val="22"/>
          <w:lang w:val="es-ES"/>
        </w:rPr>
        <w:t>ESTRUCTURA (PAQUETES DE TRABAJO, DURACION)</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22"/>
          <w:szCs w:val="22"/>
          <w:lang w:val="es-ES"/>
        </w:rPr>
        <w:tab/>
      </w:r>
      <w:r>
        <w:rPr>
          <w:rFonts w:ascii="Times New Roman" w:eastAsia="Arial Unicode MS" w:hAnsi="Times New Roman" w:cs="Times New Roman"/>
          <w:sz w:val="16"/>
          <w:szCs w:val="16"/>
          <w:lang w:val="es-ES"/>
        </w:rPr>
        <w:t>El titular de la patente se registra en el territorio del Reino de España, la empresa Centro de Ciencia y la ingeniería CCI "</w:t>
      </w:r>
      <w:proofErr w:type="spellStart"/>
      <w:r>
        <w:rPr>
          <w:rFonts w:ascii="Times New Roman" w:eastAsia="Arial Unicode MS" w:hAnsi="Times New Roman" w:cs="Times New Roman"/>
          <w:sz w:val="16"/>
          <w:szCs w:val="16"/>
          <w:lang w:val="es-ES"/>
        </w:rPr>
        <w:t>Agroprotector</w:t>
      </w:r>
      <w:proofErr w:type="spellEnd"/>
      <w:r>
        <w:rPr>
          <w:rFonts w:ascii="Times New Roman" w:eastAsia="Arial Unicode MS" w:hAnsi="Times New Roman" w:cs="Times New Roman"/>
          <w:sz w:val="16"/>
          <w:szCs w:val="16"/>
          <w:lang w:val="es-ES"/>
        </w:rPr>
        <w:t>", que realiza las siguientes funciones:</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-Junto con el inversor comunitario se establece una acción común de la fábrica de la empresa “</w:t>
      </w:r>
      <w:proofErr w:type="spellStart"/>
      <w:r>
        <w:rPr>
          <w:rFonts w:ascii="Times New Roman" w:eastAsia="Arial Unicode MS" w:hAnsi="Times New Roman" w:cs="Times New Roman"/>
          <w:sz w:val="16"/>
          <w:szCs w:val="16"/>
          <w:lang w:val="es-ES"/>
        </w:rPr>
        <w:t>Agrtoprotektor</w:t>
      </w:r>
      <w:proofErr w:type="spellEnd"/>
      <w:r>
        <w:rPr>
          <w:rFonts w:ascii="Times New Roman" w:eastAsia="Arial Unicode MS" w:hAnsi="Times New Roman" w:cs="Times New Roman"/>
          <w:sz w:val="16"/>
          <w:szCs w:val="16"/>
          <w:lang w:val="es-ES"/>
        </w:rPr>
        <w:t>”.</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-Registra la marca comercial y el signo del comercio de la empresa</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-Firmar contratos de la cooperación con las universidades líderes en España, en el desarrollo, pruebas, certificación y concesión de patentes, licencias y la introducción de nuevos tipos de fertilizantes "</w:t>
      </w:r>
      <w:proofErr w:type="spellStart"/>
      <w:r>
        <w:rPr>
          <w:rFonts w:ascii="Times New Roman" w:eastAsia="Arial Unicode MS" w:hAnsi="Times New Roman" w:cs="Times New Roman"/>
          <w:sz w:val="16"/>
          <w:szCs w:val="16"/>
          <w:lang w:val="es-ES"/>
        </w:rPr>
        <w:t>Agroprotektor</w:t>
      </w:r>
      <w:proofErr w:type="spellEnd"/>
      <w:r>
        <w:rPr>
          <w:rFonts w:ascii="Times New Roman" w:eastAsia="Arial Unicode MS" w:hAnsi="Times New Roman" w:cs="Times New Roman"/>
          <w:sz w:val="16"/>
          <w:szCs w:val="16"/>
          <w:lang w:val="es-ES"/>
        </w:rPr>
        <w:t>".</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-Participa en el diseño, construcción, ordenación e instalación como fundador y gerente de la empresa "</w:t>
      </w:r>
      <w:proofErr w:type="spellStart"/>
      <w:r>
        <w:rPr>
          <w:rFonts w:ascii="Times New Roman" w:eastAsia="Arial Unicode MS" w:hAnsi="Times New Roman" w:cs="Times New Roman"/>
          <w:sz w:val="16"/>
          <w:szCs w:val="16"/>
          <w:lang w:val="es-ES"/>
        </w:rPr>
        <w:t>Agroprotektor</w:t>
      </w:r>
      <w:proofErr w:type="spellEnd"/>
      <w:r>
        <w:rPr>
          <w:rFonts w:ascii="Times New Roman" w:eastAsia="Arial Unicode MS" w:hAnsi="Times New Roman" w:cs="Times New Roman"/>
          <w:sz w:val="16"/>
          <w:szCs w:val="16"/>
          <w:lang w:val="es-ES"/>
        </w:rPr>
        <w:t>", ubicada en la zona industrial del puerto.</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-organiza extracción y enriquecimiento de las materias para la producción de fertilizantes</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-Lleva a cabo la venta de los productos terminados, replicando tecnologías innovadoras, licencias y know-how, en América Latina, África, Asia y el Medio Oriente.</w:t>
      </w:r>
    </w:p>
    <w:p w:rsidR="004C3739" w:rsidRDefault="004C3739" w:rsidP="004C3739">
      <w:pPr>
        <w:widowControl w:val="0"/>
        <w:autoSpaceDE w:val="0"/>
        <w:autoSpaceDN w:val="0"/>
        <w:adjustRightInd w:val="0"/>
        <w:rPr>
          <w:rFonts w:ascii="Times New Roman" w:eastAsia="Arial Unicode MS" w:hAnsi="Times New Roman" w:cs="Times New Roman"/>
          <w:sz w:val="16"/>
          <w:szCs w:val="16"/>
          <w:lang w:val="es-ES"/>
        </w:rPr>
      </w:pPr>
      <w:r>
        <w:rPr>
          <w:rFonts w:ascii="Times New Roman" w:eastAsia="Arial Unicode MS" w:hAnsi="Times New Roman" w:cs="Times New Roman"/>
          <w:sz w:val="16"/>
          <w:szCs w:val="16"/>
          <w:lang w:val="es-ES"/>
        </w:rPr>
        <w:t>Inversor cofundador, invertirá los fondos en la construcción de la planta y está involucrado en la gestión de la empresa en los términos previstos por el acuerdo de inversión con el CCI «</w:t>
      </w:r>
      <w:proofErr w:type="spellStart"/>
      <w:r>
        <w:rPr>
          <w:rFonts w:ascii="Times New Roman" w:eastAsia="Arial Unicode MS" w:hAnsi="Times New Roman" w:cs="Times New Roman"/>
          <w:sz w:val="16"/>
          <w:szCs w:val="16"/>
          <w:lang w:val="es-ES"/>
        </w:rPr>
        <w:t>Agroprotector</w:t>
      </w:r>
      <w:proofErr w:type="spellEnd"/>
      <w:r>
        <w:rPr>
          <w:rFonts w:ascii="Times New Roman" w:eastAsia="Arial Unicode MS" w:hAnsi="Times New Roman" w:cs="Times New Roman"/>
          <w:sz w:val="16"/>
          <w:szCs w:val="16"/>
          <w:lang w:val="es-ES"/>
        </w:rPr>
        <w:t>», la Carta de la empresa, y las leyes del Reino de España.</w:t>
      </w:r>
    </w:p>
    <w:p w:rsidR="0083230A" w:rsidRDefault="0083230A">
      <w:bookmarkStart w:id="0" w:name="_GoBack"/>
      <w:bookmarkEnd w:id="0"/>
    </w:p>
    <w:sectPr w:rsidR="0083230A" w:rsidSect="005513E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00000E7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39"/>
    <w:rsid w:val="004C3739"/>
    <w:rsid w:val="008323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65B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2675</Words>
  <Characters>14715</Characters>
  <Application>Microsoft Macintosh Word</Application>
  <DocSecurity>0</DocSecurity>
  <Lines>122</Lines>
  <Paragraphs>34</Paragraphs>
  <ScaleCrop>false</ScaleCrop>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dc:creator>
  <cp:keywords/>
  <dc:description/>
  <cp:lastModifiedBy>OlgaM</cp:lastModifiedBy>
  <cp:revision>1</cp:revision>
  <dcterms:created xsi:type="dcterms:W3CDTF">2015-06-23T20:21:00Z</dcterms:created>
  <dcterms:modified xsi:type="dcterms:W3CDTF">2015-06-23T20:22:00Z</dcterms:modified>
</cp:coreProperties>
</file>